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7" w:rsidRDefault="00E22187" w:rsidP="00E22187">
      <w:pPr>
        <w:pStyle w:val="a3"/>
        <w:spacing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Аукцион</w:t>
      </w:r>
      <w:r w:rsidRPr="009A5749">
        <w:rPr>
          <w:b/>
          <w:sz w:val="20"/>
          <w:szCs w:val="20"/>
        </w:rPr>
        <w:t xml:space="preserve"> </w:t>
      </w:r>
      <w:r w:rsidRPr="009A5749">
        <w:rPr>
          <w:rFonts w:ascii="Times New Roman" w:hAnsi="Times New Roman"/>
          <w:b/>
        </w:rPr>
        <w:t>на право заключения договора аренды земельного участка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6"/>
        <w:gridCol w:w="1479"/>
        <w:gridCol w:w="591"/>
        <w:gridCol w:w="117"/>
        <w:gridCol w:w="395"/>
        <w:gridCol w:w="551"/>
        <w:gridCol w:w="1008"/>
        <w:gridCol w:w="83"/>
        <w:gridCol w:w="2197"/>
      </w:tblGrid>
      <w:tr w:rsidR="00E22187" w:rsidRPr="008C2AF2" w:rsidTr="00486446">
        <w:tc>
          <w:tcPr>
            <w:tcW w:w="9793" w:type="dxa"/>
            <w:gridSpan w:val="10"/>
            <w:shd w:val="clear" w:color="auto" w:fill="00B050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 xml:space="preserve">1. Общая информация 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E22187" w:rsidRDefault="00E22187" w:rsidP="00E22187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строительства и обслуживания </w:t>
            </w:r>
            <w:r w:rsidRPr="008C2AF2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 объект</w:t>
            </w:r>
            <w:r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eastAsia="MS Mincho"/>
                <w:sz w:val="24"/>
                <w:szCs w:val="24"/>
                <w:shd w:val="clear" w:color="auto" w:fill="FFFFFF"/>
              </w:rPr>
              <w:t>торговли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Общая площадь (м</w:t>
            </w:r>
            <w:proofErr w:type="gramStart"/>
            <w:r w:rsidRPr="008C2AF2">
              <w:rPr>
                <w:rFonts w:eastAsia="MS Mincho"/>
                <w:sz w:val="24"/>
                <w:szCs w:val="24"/>
                <w:vertAlign w:val="superscript"/>
              </w:rPr>
              <w:t>2</w:t>
            </w:r>
            <w:proofErr w:type="gramEnd"/>
            <w:r w:rsidRPr="008C2AF2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341</w:t>
            </w:r>
          </w:p>
        </w:tc>
      </w:tr>
      <w:tr w:rsidR="00E22187" w:rsidRPr="008C2AF2" w:rsidTr="00486446">
        <w:tc>
          <w:tcPr>
            <w:tcW w:w="2016" w:type="dxa"/>
            <w:vMerge w:val="restart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Местоположение</w:t>
            </w:r>
          </w:p>
        </w:tc>
        <w:tc>
          <w:tcPr>
            <w:tcW w:w="1356" w:type="dxa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Область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Гомельская</w:t>
            </w:r>
          </w:p>
        </w:tc>
      </w:tr>
      <w:tr w:rsidR="00E22187" w:rsidRPr="008C2AF2" w:rsidTr="00486446">
        <w:tc>
          <w:tcPr>
            <w:tcW w:w="2016" w:type="dxa"/>
            <w:vMerge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Район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Кормянский</w:t>
            </w:r>
          </w:p>
        </w:tc>
      </w:tr>
      <w:tr w:rsidR="00E22187" w:rsidRPr="008C2AF2" w:rsidTr="00486446">
        <w:tc>
          <w:tcPr>
            <w:tcW w:w="2016" w:type="dxa"/>
            <w:vMerge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Город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2016" w:type="dxa"/>
            <w:vMerge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Адрес</w:t>
            </w:r>
          </w:p>
        </w:tc>
        <w:tc>
          <w:tcPr>
            <w:tcW w:w="6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д. Струкачев, ул. Гомельская, 2А</w:t>
            </w:r>
          </w:p>
        </w:tc>
      </w:tr>
      <w:tr w:rsidR="00E22187" w:rsidRPr="008C2AF2" w:rsidTr="00486446">
        <w:tc>
          <w:tcPr>
            <w:tcW w:w="33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Собственность</w:t>
            </w:r>
          </w:p>
          <w:p w:rsidR="00E22187" w:rsidRPr="008C2AF2" w:rsidRDefault="00E22187" w:rsidP="00486446">
            <w:pPr>
              <w:spacing w:before="120"/>
              <w:ind w:firstLine="0"/>
              <w:contextualSpacing/>
              <w:jc w:val="left"/>
              <w:rPr>
                <w:rFonts w:eastAsia="MS Mincho"/>
                <w:i/>
                <w:sz w:val="24"/>
                <w:szCs w:val="24"/>
              </w:rPr>
            </w:pPr>
            <w:r w:rsidRPr="008C2AF2">
              <w:rPr>
                <w:rFonts w:eastAsia="MS Mincho"/>
                <w:i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частная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☒</w:t>
            </w:r>
            <w:r w:rsidRPr="008C2AF2">
              <w:rPr>
                <w:rFonts w:eastAsia="MS Gothic"/>
                <w:b/>
                <w:sz w:val="24"/>
                <w:szCs w:val="24"/>
              </w:rPr>
              <w:t>государственная</w:t>
            </w:r>
            <w:r w:rsidRPr="008C2AF2">
              <w:rPr>
                <w:rFonts w:eastAsia="MS Gothic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E22187" w:rsidRPr="008C2AF2" w:rsidTr="00486446">
        <w:tc>
          <w:tcPr>
            <w:tcW w:w="3372" w:type="dxa"/>
            <w:gridSpan w:val="2"/>
            <w:vMerge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Gothic"/>
                <w:sz w:val="24"/>
                <w:szCs w:val="24"/>
              </w:rPr>
              <w:t>Кормянский райисполком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Возможные направления использования</w:t>
            </w:r>
          </w:p>
        </w:tc>
        <w:tc>
          <w:tcPr>
            <w:tcW w:w="2582" w:type="dxa"/>
            <w:gridSpan w:val="4"/>
            <w:tcBorders>
              <w:right w:val="nil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  <w:lang w:val="en-US"/>
              </w:rPr>
            </w:pPr>
            <w:r w:rsidRPr="004F0F5C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Mincho" w:hAnsi="MS Mincho"/>
                <w:sz w:val="24"/>
                <w:szCs w:val="24"/>
              </w:rPr>
              <w:t xml:space="preserve"> </w:t>
            </w:r>
            <w:r w:rsidRPr="008C2AF2">
              <w:rPr>
                <w:rFonts w:eastAsia="MS Gothic"/>
                <w:sz w:val="24"/>
                <w:szCs w:val="24"/>
              </w:rPr>
              <w:t>промышленность</w:t>
            </w:r>
          </w:p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логистика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2187" w:rsidRPr="00E22187" w:rsidRDefault="00E22187" w:rsidP="00486446">
            <w:pPr>
              <w:ind w:firstLine="0"/>
              <w:contextualSpacing/>
              <w:jc w:val="left"/>
              <w:rPr>
                <w:rFonts w:eastAsia="MS Gothic"/>
                <w:b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 </w:t>
            </w:r>
            <w:r w:rsidRPr="004F0F5C">
              <w:rPr>
                <w:rFonts w:eastAsia="MS Mincho" w:hAnsi="MS Mincho"/>
                <w:sz w:val="24"/>
                <w:szCs w:val="24"/>
              </w:rPr>
              <w:t>☒</w:t>
            </w:r>
            <w:r w:rsidRPr="00E22187">
              <w:rPr>
                <w:rFonts w:eastAsia="MS Gothic"/>
                <w:b/>
                <w:sz w:val="24"/>
                <w:szCs w:val="24"/>
              </w:rPr>
              <w:t>торговля</w:t>
            </w:r>
          </w:p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Gothic"/>
                <w:sz w:val="24"/>
                <w:szCs w:val="24"/>
              </w:rPr>
              <w:t xml:space="preserve"> </w:t>
            </w: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сервис</w:t>
            </w: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Mincho"/>
                <w:sz w:val="24"/>
                <w:szCs w:val="24"/>
              </w:rPr>
              <w:t xml:space="preserve"> </w:t>
            </w:r>
            <w:r w:rsidRPr="00E22187">
              <w:rPr>
                <w:rFonts w:eastAsia="MS Gothic"/>
                <w:sz w:val="24"/>
                <w:szCs w:val="24"/>
              </w:rPr>
              <w:t>смешанная</w:t>
            </w:r>
          </w:p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иная (указать)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Способы предоставления участка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☒</w:t>
            </w:r>
            <w:r w:rsidRPr="008C2AF2">
              <w:rPr>
                <w:rFonts w:eastAsia="MS Mincho" w:hAnsi="MS Mincho"/>
                <w:sz w:val="24"/>
                <w:szCs w:val="24"/>
              </w:rPr>
              <w:t xml:space="preserve"> </w:t>
            </w:r>
            <w:r w:rsidRPr="008C2AF2">
              <w:rPr>
                <w:rFonts w:eastAsia="MS Gothic"/>
                <w:b/>
                <w:sz w:val="24"/>
                <w:szCs w:val="24"/>
              </w:rPr>
              <w:t>аренда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>продажа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Стоимость (кадастровая)</w:t>
            </w:r>
          </w:p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(за м</w:t>
            </w:r>
            <w:proofErr w:type="gramStart"/>
            <w:r w:rsidRPr="008C2AF2">
              <w:rPr>
                <w:rFonts w:eastAsia="MS Mincho"/>
                <w:sz w:val="24"/>
                <w:szCs w:val="24"/>
                <w:vertAlign w:val="superscript"/>
              </w:rPr>
              <w:t>2</w:t>
            </w:r>
            <w:proofErr w:type="gramEnd"/>
            <w:r w:rsidRPr="008C2AF2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7D4114" w:rsidP="007D4114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51,51</w:t>
            </w:r>
            <w:r w:rsidR="00E22187">
              <w:rPr>
                <w:rFonts w:eastAsia="MS Mincho"/>
                <w:sz w:val="24"/>
                <w:szCs w:val="24"/>
              </w:rPr>
              <w:t xml:space="preserve"> </w:t>
            </w:r>
            <w:r w:rsidR="00E22187" w:rsidRPr="008C2AF2">
              <w:rPr>
                <w:rFonts w:eastAsia="MS Mincho"/>
                <w:sz w:val="24"/>
                <w:szCs w:val="24"/>
              </w:rPr>
              <w:t>долларов США (</w:t>
            </w:r>
            <w:r>
              <w:rPr>
                <w:rFonts w:eastAsia="MS Mincho"/>
                <w:sz w:val="24"/>
                <w:szCs w:val="24"/>
              </w:rPr>
              <w:t>0,15</w:t>
            </w:r>
            <w:r w:rsidR="00E22187" w:rsidRPr="008C2AF2">
              <w:rPr>
                <w:rFonts w:eastAsia="MS Mincho"/>
                <w:sz w:val="24"/>
                <w:szCs w:val="24"/>
              </w:rPr>
              <w:t xml:space="preserve"> доллара США)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Обременение участка/ строения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7D4114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proofErr w:type="gramStart"/>
            <w:r>
              <w:rPr>
                <w:rFonts w:eastAsia="MS Gothic"/>
                <w:sz w:val="24"/>
                <w:szCs w:val="24"/>
              </w:rPr>
              <w:t>расположен</w:t>
            </w:r>
            <w:proofErr w:type="gramEnd"/>
            <w:r>
              <w:rPr>
                <w:rFonts w:eastAsia="MS Gothic"/>
                <w:sz w:val="24"/>
                <w:szCs w:val="24"/>
              </w:rPr>
              <w:t xml:space="preserve"> на территории, подвергшейся радиоактивному загрязнению</w:t>
            </w:r>
          </w:p>
        </w:tc>
      </w:tr>
      <w:tr w:rsidR="00E22187" w:rsidRPr="008C2AF2" w:rsidTr="00486446">
        <w:tc>
          <w:tcPr>
            <w:tcW w:w="9793" w:type="dxa"/>
            <w:gridSpan w:val="10"/>
            <w:shd w:val="clear" w:color="auto" w:fill="00B050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2. Транспортное сообщение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486446">
            <w:pPr>
              <w:ind w:left="-108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Расстояние от объекта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Наименование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7D4114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  <w:r w:rsidR="00E22187" w:rsidRPr="008C2AF2">
              <w:rPr>
                <w:rFonts w:eastAsia="MS Mincho"/>
                <w:sz w:val="24"/>
                <w:szCs w:val="24"/>
              </w:rPr>
              <w:t xml:space="preserve">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М-8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7D4114" w:rsidP="00486446">
            <w:pPr>
              <w:ind w:left="-108" w:firstLine="108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  <w:r w:rsidR="00E22187" w:rsidRPr="008C2AF2">
              <w:rPr>
                <w:rFonts w:eastAsia="MS Mincho"/>
                <w:sz w:val="24"/>
                <w:szCs w:val="24"/>
              </w:rPr>
              <w:t xml:space="preserve">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Гомель-Ветка-Чечерск-Ямное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95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г. Гомель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70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г. Рогачев</w:t>
            </w:r>
          </w:p>
        </w:tc>
      </w:tr>
      <w:tr w:rsidR="00E22187" w:rsidRPr="008C2AF2" w:rsidTr="00486446">
        <w:trPr>
          <w:trHeight w:val="364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имеется                       асфальтированная дорога</w:t>
            </w:r>
          </w:p>
        </w:tc>
      </w:tr>
      <w:tr w:rsidR="00E22187" w:rsidRPr="008C2AF2" w:rsidTr="00486446">
        <w:trPr>
          <w:trHeight w:val="28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Иное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9793" w:type="dxa"/>
            <w:gridSpan w:val="10"/>
            <w:shd w:val="clear" w:color="auto" w:fill="00B050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3. Инфраструктура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486446">
            <w:pPr>
              <w:ind w:left="-164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Расстояние от объекта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left="-108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Описание (мощность, объем и т.д.)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Электроснабжение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CA0282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имеется </w:t>
            </w:r>
            <w:r w:rsidR="00E22187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2</w:t>
            </w:r>
            <w:r w:rsidR="00E22187" w:rsidRPr="008C2AF2">
              <w:rPr>
                <w:rFonts w:eastAsia="MS Mincho"/>
                <w:sz w:val="24"/>
                <w:szCs w:val="24"/>
              </w:rPr>
              <w:t>0 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CA0282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0,4</w:t>
            </w:r>
            <w:r w:rsidR="00E22187" w:rsidRPr="008C2AF2">
              <w:rPr>
                <w:rFonts w:eastAsia="MS Mincho"/>
                <w:sz w:val="24"/>
                <w:szCs w:val="24"/>
              </w:rPr>
              <w:t xml:space="preserve"> кВ</w:t>
            </w: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Отопление (тепловые сети)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Питьевая вода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имеется, </w:t>
            </w:r>
            <w:r>
              <w:rPr>
                <w:rFonts w:eastAsia="MS Mincho"/>
                <w:sz w:val="24"/>
                <w:szCs w:val="24"/>
              </w:rPr>
              <w:t xml:space="preserve">до </w:t>
            </w:r>
            <w:r w:rsidRPr="008C2AF2">
              <w:rPr>
                <w:rFonts w:eastAsia="MS Mincho"/>
                <w:sz w:val="24"/>
                <w:szCs w:val="24"/>
              </w:rPr>
              <w:t>10 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Техническая вода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Снабжение горячей водой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CA0282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Скважины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E22187" w:rsidP="00CA0282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имеется, </w:t>
            </w:r>
            <w:r>
              <w:rPr>
                <w:rFonts w:eastAsia="MS Mincho"/>
                <w:sz w:val="24"/>
                <w:szCs w:val="24"/>
              </w:rPr>
              <w:t xml:space="preserve">до </w:t>
            </w:r>
            <w:r w:rsidR="00CA0282">
              <w:rPr>
                <w:rFonts w:eastAsia="MS Mincho"/>
                <w:sz w:val="24"/>
                <w:szCs w:val="24"/>
              </w:rPr>
              <w:t>20</w:t>
            </w:r>
            <w:r w:rsidRPr="008C2AF2">
              <w:rPr>
                <w:rFonts w:eastAsia="MS Mincho"/>
                <w:sz w:val="24"/>
                <w:szCs w:val="24"/>
              </w:rPr>
              <w:t>0 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Канализация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c>
          <w:tcPr>
            <w:tcW w:w="3372" w:type="dxa"/>
            <w:gridSpan w:val="2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Газоснабжение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E22187" w:rsidRPr="008C2AF2" w:rsidRDefault="00CA0282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E22187" w:rsidRPr="008C2AF2" w:rsidTr="00486446">
        <w:trPr>
          <w:trHeight w:val="440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Иное (в т.ч. прилегающая инфраструктура: промышленные предприятия, сырьевая база)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E22187" w:rsidRPr="008C2AF2" w:rsidRDefault="00E22187" w:rsidP="00CA0282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Земельный участок </w:t>
            </w:r>
            <w:r>
              <w:rPr>
                <w:rFonts w:eastAsia="MS Mincho"/>
                <w:sz w:val="24"/>
                <w:szCs w:val="24"/>
              </w:rPr>
              <w:t xml:space="preserve">расположен в центре населенного пункта, в шаговой доступности построены </w:t>
            </w:r>
            <w:r w:rsidR="00CA0282">
              <w:rPr>
                <w:rFonts w:eastAsia="MS Mincho"/>
                <w:sz w:val="24"/>
                <w:szCs w:val="24"/>
              </w:rPr>
              <w:t xml:space="preserve">одноквартирные </w:t>
            </w:r>
            <w:bookmarkStart w:id="0" w:name="_GoBack"/>
            <w:bookmarkEnd w:id="0"/>
            <w:r>
              <w:rPr>
                <w:rFonts w:eastAsia="MS Mincho"/>
                <w:sz w:val="24"/>
                <w:szCs w:val="24"/>
              </w:rPr>
              <w:t>жилые дома, поверхность рельефа ровная.</w:t>
            </w:r>
          </w:p>
        </w:tc>
      </w:tr>
      <w:tr w:rsidR="00E22187" w:rsidRPr="008C2AF2" w:rsidTr="00486446">
        <w:tc>
          <w:tcPr>
            <w:tcW w:w="9793" w:type="dxa"/>
            <w:gridSpan w:val="10"/>
            <w:shd w:val="clear" w:color="auto" w:fill="00B050"/>
          </w:tcPr>
          <w:p w:rsidR="00E22187" w:rsidRPr="008C2AF2" w:rsidRDefault="00E22187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4. Контактная информация</w:t>
            </w:r>
          </w:p>
        </w:tc>
      </w:tr>
      <w:tr w:rsidR="00E22187" w:rsidRPr="008C2AF2" w:rsidTr="00486446">
        <w:tc>
          <w:tcPr>
            <w:tcW w:w="4851" w:type="dxa"/>
            <w:gridSpan w:val="3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Телефон</w:t>
            </w:r>
          </w:p>
        </w:tc>
        <w:tc>
          <w:tcPr>
            <w:tcW w:w="4942" w:type="dxa"/>
            <w:gridSpan w:val="7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+375 233721400</w:t>
            </w:r>
          </w:p>
        </w:tc>
      </w:tr>
      <w:tr w:rsidR="00E22187" w:rsidRPr="008C2AF2" w:rsidTr="00486446">
        <w:tc>
          <w:tcPr>
            <w:tcW w:w="4851" w:type="dxa"/>
            <w:gridSpan w:val="3"/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4942" w:type="dxa"/>
            <w:gridSpan w:val="7"/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+375 233721400</w:t>
            </w:r>
          </w:p>
        </w:tc>
      </w:tr>
      <w:tr w:rsidR="00E22187" w:rsidRPr="008C2AF2" w:rsidTr="00486446"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Электронный адрес</w:t>
            </w:r>
          </w:p>
        </w:tc>
        <w:tc>
          <w:tcPr>
            <w:tcW w:w="4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2187" w:rsidRPr="008C2AF2" w:rsidRDefault="00E22187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8C2AF2">
              <w:rPr>
                <w:rFonts w:eastAsia="MS Mincho"/>
                <w:sz w:val="24"/>
                <w:szCs w:val="24"/>
                <w:lang w:val="en-US"/>
              </w:rPr>
              <w:t>kormzem@mail.gomel.by</w:t>
            </w:r>
          </w:p>
        </w:tc>
      </w:tr>
    </w:tbl>
    <w:p w:rsidR="00E22187" w:rsidRDefault="00E22187" w:rsidP="00E22187">
      <w:pPr>
        <w:ind w:firstLine="0"/>
      </w:pPr>
    </w:p>
    <w:p w:rsidR="00CC15C4" w:rsidRDefault="00CC15C4"/>
    <w:sectPr w:rsidR="00CC15C4" w:rsidSect="00875EDE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87"/>
    <w:rsid w:val="007D4114"/>
    <w:rsid w:val="00875EDE"/>
    <w:rsid w:val="00CA0282"/>
    <w:rsid w:val="00CC15C4"/>
    <w:rsid w:val="00E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87"/>
    <w:pPr>
      <w:ind w:left="720" w:firstLine="0"/>
      <w:contextualSpacing/>
      <w:jc w:val="left"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87"/>
    <w:pPr>
      <w:ind w:left="720" w:firstLine="0"/>
      <w:contextualSpacing/>
      <w:jc w:val="left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2020-03-13T08:31:00Z</dcterms:created>
  <dcterms:modified xsi:type="dcterms:W3CDTF">2020-03-13T09:00:00Z</dcterms:modified>
</cp:coreProperties>
</file>